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E3C" w:rsidRDefault="00C03AA6">
      <w:r>
        <w:rPr>
          <w:noProof/>
          <w:lang w:eastAsia="ru-RU"/>
        </w:rPr>
        <w:drawing>
          <wp:inline distT="0" distB="0" distL="0" distR="0">
            <wp:extent cx="5940425" cy="4454312"/>
            <wp:effectExtent l="19050" t="0" r="3175" b="0"/>
            <wp:docPr id="1" name="Рисунок 1" descr="C:\Documents and Settings\tpazarnykh\Рабочий стол\торг.обор\торговое оборуд\DSCN1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орг.обор\торговое оборуд\DSCN15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AA6" w:rsidRDefault="00C03AA6">
      <w:r>
        <w:t>Палатка (местные товаропроизводители)</w:t>
      </w:r>
    </w:p>
    <w:sectPr w:rsidR="00C03AA6" w:rsidSect="000D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03AA6"/>
    <w:rsid w:val="000D4E3C"/>
    <w:rsid w:val="00543709"/>
    <w:rsid w:val="00851B65"/>
    <w:rsid w:val="00C03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3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3A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Voronezh cityhall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2015-09-11T08:21:00Z</dcterms:created>
  <dcterms:modified xsi:type="dcterms:W3CDTF">2015-09-11T08:23:00Z</dcterms:modified>
</cp:coreProperties>
</file>